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1476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59D1E91C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</w:t>
      </w:r>
      <w:r>
        <w:rPr>
          <w:rFonts w:ascii="方正小标宋_GBK" w:hAnsi="宋体" w:eastAsia="方正小标宋_GBK"/>
          <w:sz w:val="44"/>
          <w:szCs w:val="44"/>
        </w:rPr>
        <w:t>6中国医院大会</w:t>
      </w:r>
    </w:p>
    <w:p w14:paraId="5526B318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日程安排（拟）</w:t>
      </w:r>
    </w:p>
    <w:p w14:paraId="6494A706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48B18ADE">
      <w:pPr>
        <w:ind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一、第一天5月2</w:t>
      </w: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日（周</w:t>
      </w:r>
      <w:r>
        <w:rPr>
          <w:rFonts w:hint="eastAsia" w:ascii="仿宋" w:hAnsi="仿宋" w:eastAsia="仿宋"/>
          <w:b/>
          <w:bCs/>
          <w:sz w:val="32"/>
          <w:szCs w:val="32"/>
        </w:rPr>
        <w:t>五</w:t>
      </w:r>
      <w:r>
        <w:rPr>
          <w:rFonts w:ascii="仿宋" w:hAnsi="仿宋" w:eastAsia="仿宋"/>
          <w:b/>
          <w:bCs/>
          <w:sz w:val="32"/>
          <w:szCs w:val="32"/>
        </w:rPr>
        <w:t>）</w:t>
      </w:r>
    </w:p>
    <w:p w14:paraId="5E2936BF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（一）全天报到</w:t>
      </w:r>
    </w:p>
    <w:p w14:paraId="62ABFEBC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/>
          <w:b/>
          <w:bCs/>
          <w:sz w:val="32"/>
          <w:szCs w:val="32"/>
        </w:rPr>
        <w:t>上午9</w:t>
      </w:r>
      <w:r>
        <w:rPr>
          <w:rFonts w:ascii="仿宋" w:hAnsi="仿宋" w:eastAsia="仿宋"/>
          <w:b/>
          <w:bCs/>
          <w:sz w:val="32"/>
          <w:szCs w:val="32"/>
        </w:rPr>
        <w:t>:00-1</w:t>
      </w: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:00</w:t>
      </w:r>
    </w:p>
    <w:p w14:paraId="5C984CC3">
      <w:pPr>
        <w:pStyle w:val="31"/>
        <w:ind w:left="1147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医疗科技创新转化专题会议</w:t>
      </w:r>
    </w:p>
    <w:p w14:paraId="05EBEB54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）下午14:00-17:00</w:t>
      </w:r>
    </w:p>
    <w:p w14:paraId="63E2E3E4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医疗科技创新转化大赛（中期）</w:t>
      </w:r>
    </w:p>
    <w:p w14:paraId="21778FA9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2026首都国际医学大会推介专题活动</w:t>
      </w:r>
    </w:p>
    <w:p w14:paraId="30BE4CC1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新质生产力与医疗创新前瞻会议:</w:t>
      </w:r>
      <w:r>
        <w:rPr>
          <w:rFonts w:hint="eastAsia" w:ascii="仿宋" w:hAnsi="仿宋" w:eastAsia="仿宋"/>
          <w:sz w:val="32"/>
          <w:szCs w:val="32"/>
        </w:rPr>
        <w:t>围绕AI诊疗、精准医疗、医工交叉等前沿方向，探讨技术创新与临床转化的融合路径；搭建产学研用对接平台，促进创新成果从实验室走向临床应用。</w:t>
      </w:r>
    </w:p>
    <w:p w14:paraId="2107AE0B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药事服务成本与补偿机制:</w:t>
      </w:r>
      <w:r>
        <w:rPr>
          <w:rFonts w:hint="eastAsia" w:ascii="仿宋" w:hAnsi="仿宋" w:eastAsia="仿宋"/>
          <w:sz w:val="32"/>
          <w:szCs w:val="32"/>
        </w:rPr>
        <w:t>聚焦药事服务定价机制、成本核算标准、医保补偿政策等核心议题；邀请相关部门负责人、医院药事管理专家、行业代表闭门研讨，形成政策建议与实践共识。（定向邀请:政府主管部门代表、医院药事负责人、行业协会专家）</w:t>
      </w:r>
    </w:p>
    <w:p w14:paraId="75B6208D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医院精细化管理与品质提升：</w:t>
      </w:r>
      <w:r>
        <w:rPr>
          <w:rFonts w:hint="eastAsia" w:ascii="仿宋" w:hAnsi="仿宋" w:eastAsia="仿宋"/>
          <w:sz w:val="32"/>
          <w:szCs w:val="32"/>
        </w:rPr>
        <w:t>聚焦数据驱动的精细化管理实践，探讨医疗服务品质提升的全流程管控方法，分享精细化管理工具应用与效果评价经验，打造高质量发展新范式。</w:t>
      </w:r>
    </w:p>
    <w:p w14:paraId="6CE9A0D7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DRG/DIP支付改革与医院运营：</w:t>
      </w:r>
      <w:r>
        <w:rPr>
          <w:rFonts w:hint="eastAsia" w:ascii="仿宋" w:hAnsi="仿宋" w:eastAsia="仿宋"/>
          <w:sz w:val="32"/>
          <w:szCs w:val="32"/>
        </w:rPr>
        <w:t>解析医保支付改革常态化下的成本管控策略，探讨医保合规风险防范方法，交流绩效分配优化与运营效能提升的实践经验，赋能医院高质量运营。</w:t>
      </w:r>
    </w:p>
    <w:p w14:paraId="3E82269B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公立医院公益性与绩效管理：</w:t>
      </w:r>
      <w:r>
        <w:rPr>
          <w:rFonts w:hint="eastAsia" w:ascii="仿宋" w:hAnsi="仿宋" w:eastAsia="仿宋"/>
          <w:sz w:val="32"/>
          <w:szCs w:val="32"/>
        </w:rPr>
        <w:t>聚焦公益性导向的薪酬制度改革，创新绩效考核机制，探索公益属性与运营效能的平衡路径，推动公立医院坚守公益初心、提升运营水平。</w:t>
      </w:r>
    </w:p>
    <w:p w14:paraId="4AC8C891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医院精细化管理与品质提升：</w:t>
      </w:r>
      <w:r>
        <w:rPr>
          <w:rFonts w:hint="eastAsia" w:ascii="仿宋" w:hAnsi="仿宋" w:eastAsia="仿宋"/>
          <w:sz w:val="32"/>
          <w:szCs w:val="32"/>
        </w:rPr>
        <w:t>从医疗服务流程优化、资源配置高效化、全周期医疗质量控制体系构建等维度，分享精细化管理实践方案，推动医院服务品质与管理水平双提升。</w:t>
      </w:r>
    </w:p>
    <w:p w14:paraId="442EE30A">
      <w:pPr>
        <w:pStyle w:val="31"/>
        <w:numPr>
          <w:ilvl w:val="0"/>
          <w:numId w:val="1"/>
        </w:numPr>
        <w:ind w:left="0" w:firstLine="7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医院运营成本控制与绩效管理：</w:t>
      </w:r>
      <w:r>
        <w:rPr>
          <w:rFonts w:hint="eastAsia" w:ascii="仿宋" w:hAnsi="仿宋" w:eastAsia="仿宋"/>
          <w:sz w:val="32"/>
          <w:szCs w:val="32"/>
        </w:rPr>
        <w:t>分享全成本核算与精细化成本管控的典型案例，探讨绩效管理与成本控制的联动机制，交流运营效益提升的实战经验，助力医院降本增效。</w:t>
      </w:r>
    </w:p>
    <w:p w14:paraId="58F37147">
      <w:pPr>
        <w:ind w:firstLine="565" w:firstLineChars="17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二、第二天5月2</w:t>
      </w:r>
      <w:r>
        <w:rPr>
          <w:rFonts w:hint="eastAsia" w:ascii="仿宋" w:hAnsi="仿宋" w:eastAsia="仿宋"/>
          <w:b/>
          <w:bCs/>
          <w:sz w:val="32"/>
          <w:szCs w:val="32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日（周</w:t>
      </w:r>
      <w:r>
        <w:rPr>
          <w:rFonts w:hint="eastAsia" w:ascii="仿宋" w:hAnsi="仿宋" w:eastAsia="仿宋"/>
          <w:b/>
          <w:bCs/>
          <w:sz w:val="32"/>
          <w:szCs w:val="32"/>
        </w:rPr>
        <w:t>六</w:t>
      </w:r>
      <w:r>
        <w:rPr>
          <w:rFonts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上午</w:t>
      </w:r>
    </w:p>
    <w:p w14:paraId="4169C1A6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开幕式与主会场</w:t>
      </w:r>
    </w:p>
    <w:p w14:paraId="1136E4C9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（一）开幕式9:00-10:00</w:t>
      </w:r>
    </w:p>
    <w:p w14:paraId="01F3A094">
      <w:pPr>
        <w:numPr>
          <w:ilvl w:val="0"/>
          <w:numId w:val="2"/>
        </w:numPr>
        <w:ind w:left="-2" w:leftChars="-1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大会致辞：国家卫生健康委领导、中国医院协会领导出席，解读2026全国卫生健康工作会议精神，明确“十五五”医院高质量发展政策导向与核心任务。</w:t>
      </w:r>
    </w:p>
    <w:p w14:paraId="7A641206">
      <w:pPr>
        <w:numPr>
          <w:ilvl w:val="0"/>
          <w:numId w:val="2"/>
        </w:numPr>
        <w:ind w:left="-2" w:leftChars="-1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专题报告：《党建引领行业作风建设：筑牢卫生健康事业发展的政治根基》，由中央纪委国家监委驻国家卫生健康委员会纪检监察组领导主讲。</w:t>
      </w:r>
    </w:p>
    <w:p w14:paraId="6C145C3A">
      <w:pPr>
        <w:numPr>
          <w:ilvl w:val="0"/>
          <w:numId w:val="2"/>
        </w:numPr>
        <w:ind w:left="-2" w:leftChars="-1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行业成果发布：发布医院高质量发展标杆案例、行业标准规范等重要成果。</w:t>
      </w:r>
    </w:p>
    <w:p w14:paraId="64230B23">
      <w:pPr>
        <w:numPr>
          <w:ilvl w:val="0"/>
          <w:numId w:val="2"/>
        </w:numPr>
        <w:ind w:left="-2" w:leftChars="-1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优秀分支机构表彰：树立行业标杆，激励分支机构赋能行业发展。</w:t>
      </w:r>
    </w:p>
    <w:p w14:paraId="58AFFD2A">
      <w:pPr>
        <w:ind w:firstLine="565" w:firstLineChars="17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（二）主会场上午10:00-12:00主旨演讲</w:t>
      </w:r>
    </w:p>
    <w:p w14:paraId="729016C9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“十五五”卫生健康规划下公立医院高质量发展战略重塑与路径探索</w:t>
      </w:r>
    </w:p>
    <w:p w14:paraId="50020C91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内容：基于三级公</w:t>
      </w:r>
    </w:p>
    <w:p w14:paraId="1CE70EF9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立医院绩效考核（“国考”）数据，解析公立医院在医疗服务优化、公共卫生协同、学科结构调整、人才培养升级等方面的功能重塑任务；聚焦“控三、稳二、强基”目标，提出三级医院回归“技术引领、标准输出”主责、二级医院强化康复护理功能、助力基层能力提升的实践路径。</w:t>
      </w:r>
    </w:p>
    <w:p w14:paraId="67362159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全国检验互认体系建设与实践：赋能医疗协同与民生提质</w:t>
      </w:r>
    </w:p>
    <w:p w14:paraId="7A004FB3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内容：分享在检验项目标准化、结果互认机制、质量控制体系、信息互联互通的实践经验，解析其在降低患者就医成本、提升医疗资源效率、促进医联体协同、助力双向转诊落地的核心价值。</w:t>
      </w:r>
    </w:p>
    <w:p w14:paraId="78FE7957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DRG/DIP支付改革常态化：医院成本管控与医保合规双赢之道</w:t>
      </w:r>
    </w:p>
    <w:p w14:paraId="747E3AF2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解析DRG/DIP常态化下医保政策优化趋势；聚焦医院结余留用激励、复杂病例成本控制、编码与临床衔接等痛点，分享成本管控、病种结构优化、医保合规管理的实操方案，助力医院实现“医保合规+经济效能+服务质量”三重提升。</w:t>
      </w:r>
    </w:p>
    <w:p w14:paraId="29A859A4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新质生产力赋能医疗科技创新：从基础研究到临床转化的全链条突破</w:t>
      </w:r>
    </w:p>
    <w:p w14:paraId="67E98107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聚焦四大慢病、传染病防治、创新药物研发等重大专项；解读临床需求导向的科研体系构建路径，分享医工交叉、产学研协同破解成果转化不畅的实践经验；探讨AI诊疗、精准医疗等前沿技术的临床应用与政策保障。</w:t>
      </w:r>
    </w:p>
    <w:p w14:paraId="3E48D9F0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国家医学中心引领区域医疗协同发展：实践范式与经验推广</w:t>
      </w:r>
    </w:p>
    <w:p w14:paraId="526D9E3F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以“医企协同创新平台”“元医疗模拟实验室”建设为例，解析国家医学中心在技术输出、人才培养、区域协同中的核心作用；分享“临床-科研-产业”良性循环的构建经验，提供可复制的区域医疗中心提质增效模式。</w:t>
      </w:r>
    </w:p>
    <w:p w14:paraId="525CBF90">
      <w:pPr>
        <w:numPr>
          <w:ilvl w:val="0"/>
          <w:numId w:val="3"/>
        </w:numPr>
        <w:ind w:left="-2" w:leftChars="-1" w:firstLine="707" w:firstLineChars="22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重大疾病防控体系重构：从技术革新到多学科协同的实践路径</w:t>
      </w:r>
    </w:p>
    <w:p w14:paraId="36508744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内容：解读“国家—省级—地方”三级疾病研究网络建设、数据驱动的逆向转化研发范式；探讨慢性病“多病同防同治同管”、新药研发周期缩短的创新路径。</w:t>
      </w:r>
    </w:p>
    <w:p w14:paraId="1F180F0F">
      <w:pPr>
        <w:ind w:firstLine="565" w:firstLineChars="17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、第二天5月2</w:t>
      </w:r>
      <w:r>
        <w:rPr>
          <w:rFonts w:hint="eastAsia" w:ascii="仿宋" w:hAnsi="仿宋" w:eastAsia="仿宋"/>
          <w:b/>
          <w:bCs/>
          <w:sz w:val="32"/>
          <w:szCs w:val="32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日（周</w:t>
      </w:r>
      <w:r>
        <w:rPr>
          <w:rFonts w:hint="eastAsia" w:ascii="仿宋" w:hAnsi="仿宋" w:eastAsia="仿宋"/>
          <w:b/>
          <w:bCs/>
          <w:sz w:val="32"/>
          <w:szCs w:val="32"/>
        </w:rPr>
        <w:t>六</w:t>
      </w:r>
      <w:r>
        <w:rPr>
          <w:rFonts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下午14:00—17:00</w:t>
      </w:r>
    </w:p>
    <w:p w14:paraId="3F82B060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下午</w:t>
      </w:r>
      <w:r>
        <w:rPr>
          <w:rFonts w:ascii="仿宋" w:hAnsi="仿宋" w:eastAsia="仿宋"/>
          <w:sz w:val="32"/>
          <w:szCs w:val="32"/>
        </w:rPr>
        <w:t>专题会议与分会场</w:t>
      </w:r>
    </w:p>
    <w:p w14:paraId="412608FE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专题会议</w:t>
      </w:r>
      <w:r>
        <w:rPr>
          <w:rFonts w:hint="eastAsia" w:ascii="仿宋" w:hAnsi="仿宋" w:eastAsia="仿宋"/>
          <w:b/>
          <w:bCs/>
          <w:sz w:val="32"/>
          <w:szCs w:val="32"/>
        </w:rPr>
        <w:t>——</w:t>
      </w:r>
      <w:r>
        <w:rPr>
          <w:rFonts w:ascii="仿宋" w:hAnsi="仿宋" w:eastAsia="仿宋"/>
          <w:b/>
          <w:bCs/>
          <w:sz w:val="32"/>
          <w:szCs w:val="32"/>
        </w:rPr>
        <w:t>党建引领与行风建设：</w:t>
      </w:r>
      <w:r>
        <w:rPr>
          <w:rFonts w:ascii="仿宋" w:hAnsi="仿宋" w:eastAsia="仿宋"/>
          <w:sz w:val="32"/>
          <w:szCs w:val="32"/>
        </w:rPr>
        <w:t>强化党建与医德医风建设，分享制度创新与实践经验，塑造行业清风正气。</w:t>
      </w:r>
    </w:p>
    <w:p w14:paraId="6A58F6AB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血液科研创新转化：</w:t>
      </w:r>
      <w:r>
        <w:rPr>
          <w:rFonts w:hint="eastAsia" w:ascii="仿宋" w:hAnsi="仿宋" w:eastAsia="仿宋"/>
          <w:sz w:val="32"/>
          <w:szCs w:val="32"/>
        </w:rPr>
        <w:t>围绕血液疾病诊疗技术创新、血液相关创新药物与器械研发展开探讨，探索科研成果临床转化的有效路径，促进血液领域科研与临床深度融合。</w:t>
      </w:r>
    </w:p>
    <w:p w14:paraId="71FBFC99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医疗体系优化与分级诊疗：</w:t>
      </w:r>
      <w:r>
        <w:rPr>
          <w:rFonts w:hint="eastAsia" w:ascii="仿宋" w:hAnsi="仿宋" w:eastAsia="仿宋"/>
          <w:sz w:val="32"/>
          <w:szCs w:val="32"/>
        </w:rPr>
        <w:t>深入研讨“强基、稳二、控三”落地实施路径，分享医联体建设模式创新、双向转诊机制完善及基层能力提升的标杆案例，助力医疗资源合理配置。</w:t>
      </w:r>
    </w:p>
    <w:p w14:paraId="255AB681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国家医学中心与区域医疗中心建设：</w:t>
      </w:r>
      <w:r>
        <w:rPr>
          <w:rFonts w:hint="eastAsia" w:ascii="仿宋" w:hAnsi="仿宋" w:eastAsia="仿宋"/>
          <w:sz w:val="32"/>
          <w:szCs w:val="32"/>
        </w:rPr>
        <w:t>探索优质医疗资源扩容下沉路径，创新区域医疗协同机制，研讨医疗中心高质量建设评价体系，推动医疗中心建设提质增效。</w:t>
      </w:r>
    </w:p>
    <w:p w14:paraId="241845BC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医院学科建设与人才培养：</w:t>
      </w:r>
      <w:r>
        <w:rPr>
          <w:rFonts w:hint="eastAsia" w:ascii="仿宋" w:hAnsi="仿宋" w:eastAsia="仿宋"/>
          <w:sz w:val="32"/>
          <w:szCs w:val="32"/>
        </w:rPr>
        <w:t>围绕学科布局优化与特色学科打造、科研能力提升与创新平台建设、人才梯队构建与高层次人才引进等内容展开交流，夯实医院高质量发展核心支撑。</w:t>
      </w:r>
    </w:p>
    <w:p w14:paraId="0384B734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强化党建引领赋能学科发展：</w:t>
      </w:r>
      <w:r>
        <w:rPr>
          <w:rFonts w:hint="eastAsia" w:ascii="仿宋" w:hAnsi="仿宋" w:eastAsia="仿宋"/>
          <w:sz w:val="32"/>
          <w:szCs w:val="32"/>
        </w:rPr>
        <w:t>研讨党建与学科建设深度融合的创新活动形式，分享党建引领学科人才培养、科研突破的实践案例，推动学科发展迈向新高度。</w:t>
      </w:r>
    </w:p>
    <w:p w14:paraId="1575061B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学科领航、科研驱动、人才支撑——构建医院高质量发展新生态：</w:t>
      </w:r>
      <w:r>
        <w:rPr>
          <w:rFonts w:hint="eastAsia" w:ascii="仿宋" w:hAnsi="仿宋" w:eastAsia="仿宋"/>
          <w:sz w:val="32"/>
          <w:szCs w:val="32"/>
        </w:rPr>
        <w:t>解读学科前沿动态与发展趋势，探讨科研创新潜能挖掘与成果转化路径，交流人才培养与团队建设实践经验，构建医院高质量发展新生态。</w:t>
      </w:r>
    </w:p>
    <w:p w14:paraId="456ECCE8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百年名院——人民为本传承创新：</w:t>
      </w:r>
      <w:r>
        <w:rPr>
          <w:rFonts w:hint="eastAsia" w:ascii="仿宋" w:hAnsi="仿宋" w:eastAsia="仿宋"/>
          <w:sz w:val="32"/>
          <w:szCs w:val="32"/>
        </w:rPr>
        <w:t>回顾百年名院发展历程，探讨以人民为中心服务理念的践行路径，交流传统与创新融合发展的实践经验，传承名院文化、激发创新活力。</w:t>
      </w:r>
    </w:p>
    <w:p w14:paraId="46B7BB2B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强化公立医院高质量发展，推进国家肿瘤区域医疗中心建设：</w:t>
      </w:r>
      <w:r>
        <w:rPr>
          <w:rFonts w:hint="eastAsia" w:ascii="仿宋" w:hAnsi="仿宋" w:eastAsia="仿宋"/>
          <w:sz w:val="32"/>
          <w:szCs w:val="32"/>
        </w:rPr>
        <w:t>交流肿瘤诊疗技术创新与多学科协作经验，探讨肿瘤医疗资源整合与区域协同路径，助力国家肿瘤区域医疗中心建设稳步推进。</w:t>
      </w:r>
    </w:p>
    <w:p w14:paraId="6061822C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医院绩效管理与“国考”实践：</w:t>
      </w:r>
      <w:r>
        <w:rPr>
          <w:rFonts w:hint="eastAsia" w:ascii="仿宋" w:hAnsi="仿宋" w:eastAsia="仿宋"/>
          <w:sz w:val="32"/>
          <w:szCs w:val="32"/>
        </w:rPr>
        <w:t>分享医院绩效管理经验，结合“国考”指标优化管理策略，交流提升医院综合实力的实践路径，助力医院在“国考”中取得优异成绩。</w:t>
      </w:r>
    </w:p>
    <w:p w14:paraId="361463CC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抗微生物药物合理应用与管理：</w:t>
      </w:r>
      <w:r>
        <w:rPr>
          <w:rFonts w:hint="eastAsia" w:ascii="仿宋" w:hAnsi="仿宋" w:eastAsia="仿宋"/>
          <w:sz w:val="32"/>
          <w:szCs w:val="32"/>
        </w:rPr>
        <w:t>聚焦抗微生物药物临床应用规范制定，交流人员培训与用药指导经验，探讨监测评估体系完善与耐药性防控策略，提升用药合理性与临床治疗安全性。</w:t>
      </w:r>
    </w:p>
    <w:p w14:paraId="6AB93098">
      <w:pPr>
        <w:numPr>
          <w:ilvl w:val="0"/>
          <w:numId w:val="4"/>
        </w:numPr>
        <w:ind w:left="0" w:firstLine="707" w:firstLineChars="2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深化医药卫生体制改革与公立医院高质量发展经验交流—上海：</w:t>
      </w:r>
      <w:r>
        <w:rPr>
          <w:rFonts w:hint="eastAsia" w:ascii="仿宋" w:hAnsi="仿宋" w:eastAsia="仿宋"/>
          <w:sz w:val="32"/>
          <w:szCs w:val="32"/>
        </w:rPr>
        <w:t>聚焦上海医改创新举措与成效，分享公立医院在医疗服务质量提升、资源配置优化、学科建设等方面的成功经验，探讨医改深化方向。</w:t>
      </w:r>
    </w:p>
    <w:p w14:paraId="025D4A79">
      <w:pPr>
        <w:numPr>
          <w:ilvl w:val="0"/>
          <w:numId w:val="4"/>
        </w:numPr>
        <w:ind w:left="0" w:firstLine="707" w:firstLineChars="22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深化医药卫生体制改革与公立医院高质量发展经验交流—北京：</w:t>
      </w:r>
      <w:r>
        <w:rPr>
          <w:rFonts w:hint="eastAsia" w:ascii="仿宋" w:hAnsi="仿宋" w:eastAsia="仿宋"/>
          <w:sz w:val="32"/>
          <w:szCs w:val="32"/>
        </w:rPr>
        <w:t>深入剖析北京医改探索实践与“北京模式”，交流公立医院在技术水平提升、运营管理完善、人才培养强化等方面的先进经验，共探公立医院高质量发展路径。</w:t>
      </w:r>
    </w:p>
    <w:p w14:paraId="2C22C6FB">
      <w:pPr>
        <w:numPr>
          <w:ilvl w:val="0"/>
          <w:numId w:val="4"/>
        </w:numPr>
        <w:ind w:left="0" w:firstLine="707" w:firstLineChars="22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中国医院协会相关分支机构学术会议</w:t>
      </w:r>
    </w:p>
    <w:p w14:paraId="7F937B0B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</w:t>
      </w:r>
      <w:r>
        <w:rPr>
          <w:rFonts w:ascii="仿宋" w:hAnsi="仿宋" w:eastAsia="仿宋"/>
          <w:b/>
          <w:bCs/>
          <w:sz w:val="32"/>
          <w:szCs w:val="32"/>
        </w:rPr>
        <w:t>、第</w:t>
      </w: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天5月2</w:t>
      </w:r>
      <w:r>
        <w:rPr>
          <w:rFonts w:hint="eastAsia" w:ascii="仿宋" w:hAnsi="仿宋" w:eastAsia="仿宋"/>
          <w:b/>
          <w:bCs/>
          <w:sz w:val="32"/>
          <w:szCs w:val="32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>日（周</w:t>
      </w:r>
      <w:r>
        <w:rPr>
          <w:rFonts w:hint="eastAsia" w:ascii="仿宋" w:hAnsi="仿宋" w:eastAsia="仿宋"/>
          <w:b/>
          <w:bCs/>
          <w:sz w:val="32"/>
          <w:szCs w:val="32"/>
        </w:rPr>
        <w:t>日</w:t>
      </w:r>
      <w:r>
        <w:rPr>
          <w:rFonts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上午9:00—12:00</w:t>
      </w:r>
    </w:p>
    <w:p w14:paraId="2999A28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</w:rPr>
        <w:t>智慧医院与医疗服务提质：</w:t>
      </w:r>
      <w:r>
        <w:rPr>
          <w:rFonts w:hint="eastAsia" w:ascii="仿宋" w:hAnsi="仿宋" w:eastAsia="仿宋"/>
          <w:sz w:val="32"/>
          <w:szCs w:val="32"/>
        </w:rPr>
        <w:t>分享医院数字化转型实践经验，探讨检验结果互认的技术支撑与流程优化方案，交流便民服务创新举措，助力患者体验提升与医疗服务质效改善。</w:t>
      </w:r>
    </w:p>
    <w:p w14:paraId="2A2FF7C7">
      <w:pPr>
        <w:widowControl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2.国际医疗合作与经验交流：</w:t>
      </w:r>
      <w:r>
        <w:rPr>
          <w:rFonts w:hint="eastAsia" w:ascii="仿宋" w:hAnsi="仿宋" w:eastAsia="仿宋"/>
          <w:sz w:val="32"/>
          <w:szCs w:val="32"/>
        </w:rPr>
        <w:t>探索国际医疗服务模式创新，研讨跨境医疗协同机制，交流国际医疗标准对接实践经验，拓宽国际医疗合作视野。</w:t>
      </w:r>
    </w:p>
    <w:p w14:paraId="5507C5E5">
      <w:pPr>
        <w:widowControl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3.构建高效可靠的医疗质量体系：</w:t>
      </w:r>
      <w:r>
        <w:rPr>
          <w:rFonts w:hint="eastAsia" w:ascii="仿宋" w:hAnsi="仿宋" w:eastAsia="仿宋"/>
          <w:sz w:val="32"/>
          <w:szCs w:val="32"/>
        </w:rPr>
        <w:t>分享医疗质量管理体系健全与优化的实践方法，探讨关键环节医疗质量控制策略，交流质量安全文化建设与风险防范经验，筑牢医疗质量安全防线。</w:t>
      </w:r>
    </w:p>
    <w:p w14:paraId="4D784127">
      <w:pPr>
        <w:widowControl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4.学科建设助力公立医院高质量发展：</w:t>
      </w:r>
      <w:r>
        <w:rPr>
          <w:rFonts w:hint="eastAsia" w:ascii="仿宋" w:hAnsi="仿宋" w:eastAsia="仿宋"/>
          <w:sz w:val="32"/>
          <w:szCs w:val="32"/>
        </w:rPr>
        <w:t>围绕功能定位与区域需求匹配的学科布局、学科影响力提升与对外交流合作、学科建设评价与持续改进等内容展开研讨，以学科建设带动医院整体发展。</w:t>
      </w:r>
    </w:p>
    <w:p w14:paraId="22DAD8C3">
      <w:p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（具体内容以现场日程为准。）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7124B"/>
    <w:multiLevelType w:val="multilevel"/>
    <w:tmpl w:val="1F9712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E522B2"/>
    <w:multiLevelType w:val="multilevel"/>
    <w:tmpl w:val="3AE522B2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 w:ascii="仿宋" w:hAnsi="仿宋" w:eastAsia="仿宋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B005CC1"/>
    <w:multiLevelType w:val="multilevel"/>
    <w:tmpl w:val="5B005CC1"/>
    <w:lvl w:ilvl="0" w:tentative="0">
      <w:start w:val="1"/>
      <w:numFmt w:val="decimal"/>
      <w:lvlText w:val="%1."/>
      <w:lvlJc w:val="left"/>
      <w:pPr>
        <w:ind w:left="1147" w:hanging="44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1587" w:hanging="440"/>
      </w:pPr>
    </w:lvl>
    <w:lvl w:ilvl="2" w:tentative="0">
      <w:start w:val="1"/>
      <w:numFmt w:val="lowerRoman"/>
      <w:lvlText w:val="%3."/>
      <w:lvlJc w:val="right"/>
      <w:pPr>
        <w:ind w:left="2027" w:hanging="440"/>
      </w:pPr>
    </w:lvl>
    <w:lvl w:ilvl="3" w:tentative="0">
      <w:start w:val="1"/>
      <w:numFmt w:val="decimal"/>
      <w:lvlText w:val="%4."/>
      <w:lvlJc w:val="left"/>
      <w:pPr>
        <w:ind w:left="2467" w:hanging="440"/>
      </w:pPr>
    </w:lvl>
    <w:lvl w:ilvl="4" w:tentative="0">
      <w:start w:val="1"/>
      <w:numFmt w:val="lowerLetter"/>
      <w:lvlText w:val="%5)"/>
      <w:lvlJc w:val="left"/>
      <w:pPr>
        <w:ind w:left="2907" w:hanging="440"/>
      </w:pPr>
    </w:lvl>
    <w:lvl w:ilvl="5" w:tentative="0">
      <w:start w:val="1"/>
      <w:numFmt w:val="lowerRoman"/>
      <w:lvlText w:val="%6."/>
      <w:lvlJc w:val="right"/>
      <w:pPr>
        <w:ind w:left="3347" w:hanging="440"/>
      </w:pPr>
    </w:lvl>
    <w:lvl w:ilvl="6" w:tentative="0">
      <w:start w:val="1"/>
      <w:numFmt w:val="decimal"/>
      <w:lvlText w:val="%7."/>
      <w:lvlJc w:val="left"/>
      <w:pPr>
        <w:ind w:left="3787" w:hanging="440"/>
      </w:pPr>
    </w:lvl>
    <w:lvl w:ilvl="7" w:tentative="0">
      <w:start w:val="1"/>
      <w:numFmt w:val="lowerLetter"/>
      <w:lvlText w:val="%8)"/>
      <w:lvlJc w:val="left"/>
      <w:pPr>
        <w:ind w:left="4227" w:hanging="440"/>
      </w:pPr>
    </w:lvl>
    <w:lvl w:ilvl="8" w:tentative="0">
      <w:start w:val="1"/>
      <w:numFmt w:val="lowerRoman"/>
      <w:lvlText w:val="%9."/>
      <w:lvlJc w:val="right"/>
      <w:pPr>
        <w:ind w:left="4667" w:hanging="440"/>
      </w:pPr>
    </w:lvl>
  </w:abstractNum>
  <w:abstractNum w:abstractNumId="3">
    <w:nsid w:val="74F828CE"/>
    <w:multiLevelType w:val="multilevel"/>
    <w:tmpl w:val="74F828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3"/>
    <w:rsid w:val="0001146A"/>
    <w:rsid w:val="00057F18"/>
    <w:rsid w:val="000624BF"/>
    <w:rsid w:val="00066590"/>
    <w:rsid w:val="000C502F"/>
    <w:rsid w:val="000E2C88"/>
    <w:rsid w:val="000F4158"/>
    <w:rsid w:val="00101A56"/>
    <w:rsid w:val="00103575"/>
    <w:rsid w:val="00105A70"/>
    <w:rsid w:val="001B47D9"/>
    <w:rsid w:val="00214680"/>
    <w:rsid w:val="00255514"/>
    <w:rsid w:val="0026451C"/>
    <w:rsid w:val="00274E21"/>
    <w:rsid w:val="002920EC"/>
    <w:rsid w:val="00331AFC"/>
    <w:rsid w:val="00371B4F"/>
    <w:rsid w:val="003F190F"/>
    <w:rsid w:val="0041182D"/>
    <w:rsid w:val="004A23CF"/>
    <w:rsid w:val="004B4C22"/>
    <w:rsid w:val="004C2A7E"/>
    <w:rsid w:val="004D0B55"/>
    <w:rsid w:val="004D61C6"/>
    <w:rsid w:val="004E3B01"/>
    <w:rsid w:val="00521B53"/>
    <w:rsid w:val="00547C4F"/>
    <w:rsid w:val="00606840"/>
    <w:rsid w:val="00684B2B"/>
    <w:rsid w:val="00693B93"/>
    <w:rsid w:val="006A21DC"/>
    <w:rsid w:val="006B3494"/>
    <w:rsid w:val="006D26E3"/>
    <w:rsid w:val="006D2A7E"/>
    <w:rsid w:val="00783BF1"/>
    <w:rsid w:val="007C78B7"/>
    <w:rsid w:val="00911BB3"/>
    <w:rsid w:val="0093390A"/>
    <w:rsid w:val="009464DA"/>
    <w:rsid w:val="00976CEC"/>
    <w:rsid w:val="009E3D2C"/>
    <w:rsid w:val="00A24C27"/>
    <w:rsid w:val="00A66355"/>
    <w:rsid w:val="00A66B05"/>
    <w:rsid w:val="00AC7506"/>
    <w:rsid w:val="00AE090C"/>
    <w:rsid w:val="00B569F0"/>
    <w:rsid w:val="00C15CE2"/>
    <w:rsid w:val="00C311B0"/>
    <w:rsid w:val="00D53555"/>
    <w:rsid w:val="00DD3089"/>
    <w:rsid w:val="00E046AA"/>
    <w:rsid w:val="00E11E80"/>
    <w:rsid w:val="00E235B1"/>
    <w:rsid w:val="00E4234E"/>
    <w:rsid w:val="00E642FB"/>
    <w:rsid w:val="00E77409"/>
    <w:rsid w:val="00EB1D73"/>
    <w:rsid w:val="00F6150C"/>
    <w:rsid w:val="00F701E0"/>
    <w:rsid w:val="00FC6811"/>
    <w:rsid w:val="2EA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776</Words>
  <Characters>4425</Characters>
  <Lines>36</Lines>
  <Paragraphs>10</Paragraphs>
  <TotalTime>1382</TotalTime>
  <ScaleCrop>false</ScaleCrop>
  <LinksUpToDate>false</LinksUpToDate>
  <CharactersWithSpaces>5191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bin zhang</dc:creator>
  <cp:lastModifiedBy>信息化周扬</cp:lastModifiedBy>
  <cp:lastPrinted>2026-02-28T08:32:00Z</cp:lastPrinted>
  <dcterms:modified xsi:type="dcterms:W3CDTF">2026-03-03T03:11:47Z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54C0F96D8D4643C0B9B1EEC324C33FF9_13</vt:lpwstr>
  </property>
</Properties>
</file>